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1F773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C85C44">
        <w:rPr>
          <w:rFonts w:ascii="Times New Roman" w:hAnsi="Times New Roman" w:cs="Times New Roman"/>
          <w:sz w:val="28"/>
          <w:szCs w:val="28"/>
        </w:rPr>
        <w:t>8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546003">
        <w:rPr>
          <w:rFonts w:ascii="Times New Roman" w:hAnsi="Times New Roman" w:cs="Times New Roman"/>
          <w:sz w:val="28"/>
          <w:szCs w:val="28"/>
        </w:rPr>
        <w:t>6-</w:t>
      </w:r>
      <w:r w:rsidR="001F773C">
        <w:rPr>
          <w:rFonts w:ascii="Times New Roman" w:hAnsi="Times New Roman" w:cs="Times New Roman"/>
          <w:sz w:val="28"/>
          <w:szCs w:val="28"/>
        </w:rPr>
        <w:t>631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C85C44">
        <w:rPr>
          <w:rFonts w:ascii="Times New Roman" w:hAnsi="Times New Roman" w:cs="Times New Roman"/>
          <w:b/>
          <w:bCs/>
          <w:sz w:val="28"/>
          <w:szCs w:val="28"/>
        </w:rPr>
        <w:t>Сельцовский</w:t>
      </w:r>
      <w:proofErr w:type="spellEnd"/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городской округ»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>(местном бюджете) на 201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8E1B0D" w:rsidRPr="008E1B0D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в редакции </w:t>
      </w:r>
      <w:r w:rsidR="00EB70A1">
        <w:rPr>
          <w:rFonts w:ascii="Times New Roman" w:hAnsi="Times New Roman" w:cs="Times New Roman"/>
          <w:bCs/>
          <w:color w:val="0070C0"/>
          <w:sz w:val="28"/>
          <w:szCs w:val="28"/>
        </w:rPr>
        <w:t>Решений</w:t>
      </w:r>
      <w:r w:rsidR="008E1B0D" w:rsidRPr="008E1B0D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от 30.01.2019 №6-641</w:t>
      </w:r>
      <w:r w:rsidR="00EB70A1" w:rsidRPr="00EB70A1">
        <w:rPr>
          <w:rFonts w:ascii="Times New Roman" w:hAnsi="Times New Roman" w:cs="Times New Roman"/>
          <w:bCs/>
          <w:color w:val="00B050"/>
          <w:sz w:val="28"/>
          <w:szCs w:val="28"/>
        </w:rPr>
        <w:t>, от 13.03.2019 №6-650</w:t>
      </w:r>
      <w:r w:rsidR="002E2BA2">
        <w:rPr>
          <w:rFonts w:ascii="Times New Roman" w:hAnsi="Times New Roman" w:cs="Times New Roman"/>
          <w:bCs/>
          <w:color w:val="00B050"/>
          <w:sz w:val="28"/>
          <w:szCs w:val="28"/>
        </w:rPr>
        <w:t xml:space="preserve">, </w:t>
      </w:r>
      <w:r w:rsidR="002E2BA2" w:rsidRPr="002E2BA2">
        <w:rPr>
          <w:rFonts w:ascii="Times New Roman" w:hAnsi="Times New Roman" w:cs="Times New Roman"/>
          <w:bCs/>
          <w:color w:val="C00000"/>
          <w:sz w:val="28"/>
          <w:szCs w:val="28"/>
        </w:rPr>
        <w:t>от 24.04.2019 №6-660</w:t>
      </w:r>
      <w:r w:rsidR="00D64D9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, </w:t>
      </w:r>
      <w:r w:rsidR="00D64D92" w:rsidRPr="00D64D92">
        <w:rPr>
          <w:rFonts w:ascii="Times New Roman" w:hAnsi="Times New Roman" w:cs="Times New Roman"/>
          <w:bCs/>
          <w:color w:val="7030A0"/>
          <w:sz w:val="28"/>
          <w:szCs w:val="28"/>
        </w:rPr>
        <w:t>от 29.05.2019 №6-671</w:t>
      </w:r>
      <w:r w:rsidR="0044281E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, </w:t>
      </w:r>
      <w:r w:rsidR="0044281E" w:rsidRPr="0044281E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>от 17.07.2019 №6-698</w:t>
      </w:r>
      <w:r w:rsidR="00FA3CD3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 xml:space="preserve">, </w:t>
      </w:r>
      <w:r w:rsidR="00FA3CD3" w:rsidRPr="00FA3CD3">
        <w:rPr>
          <w:rFonts w:ascii="Times New Roman" w:hAnsi="Times New Roman" w:cs="Times New Roman"/>
          <w:bCs/>
          <w:color w:val="FF0000"/>
          <w:sz w:val="28"/>
          <w:szCs w:val="28"/>
        </w:rPr>
        <w:t>от 28.08.2019 №6-702</w:t>
      </w:r>
      <w:r w:rsidR="00D94A8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, </w:t>
      </w:r>
      <w:r w:rsidR="00D94A84" w:rsidRPr="00D94A84">
        <w:rPr>
          <w:rFonts w:ascii="Times New Roman" w:hAnsi="Times New Roman" w:cs="Times New Roman"/>
          <w:bCs/>
          <w:color w:val="4BACC6" w:themeColor="accent5"/>
          <w:sz w:val="28"/>
          <w:szCs w:val="28"/>
        </w:rPr>
        <w:t>от 30.10.2019 №7-</w:t>
      </w:r>
      <w:r w:rsidR="00E3433E">
        <w:rPr>
          <w:rFonts w:ascii="Times New Roman" w:hAnsi="Times New Roman" w:cs="Times New Roman"/>
          <w:bCs/>
          <w:color w:val="4BACC6" w:themeColor="accent5"/>
          <w:sz w:val="28"/>
          <w:szCs w:val="28"/>
        </w:rPr>
        <w:t xml:space="preserve"> 16</w:t>
      </w:r>
      <w:r w:rsidR="003B4BAE">
        <w:rPr>
          <w:rFonts w:ascii="Times New Roman" w:hAnsi="Times New Roman" w:cs="Times New Roman"/>
          <w:bCs/>
          <w:color w:val="4BACC6" w:themeColor="accent5"/>
          <w:sz w:val="28"/>
          <w:szCs w:val="28"/>
        </w:rPr>
        <w:t xml:space="preserve">, </w:t>
      </w:r>
      <w:r w:rsidR="003B4BAE" w:rsidRPr="003B4BAE">
        <w:rPr>
          <w:rFonts w:ascii="Times New Roman" w:hAnsi="Times New Roman" w:cs="Times New Roman"/>
          <w:bCs/>
          <w:color w:val="76923C" w:themeColor="accent3" w:themeShade="BF"/>
          <w:sz w:val="28"/>
          <w:szCs w:val="28"/>
        </w:rPr>
        <w:t>от 04.12.2019 №7-44</w:t>
      </w:r>
      <w:r w:rsidR="00C859A8">
        <w:rPr>
          <w:rFonts w:ascii="Times New Roman" w:hAnsi="Times New Roman" w:cs="Times New Roman"/>
          <w:bCs/>
          <w:color w:val="76923C" w:themeColor="accent3" w:themeShade="BF"/>
          <w:sz w:val="28"/>
          <w:szCs w:val="28"/>
        </w:rPr>
        <w:t xml:space="preserve">, </w:t>
      </w:r>
      <w:r w:rsidR="00C859A8" w:rsidRPr="00C859A8">
        <w:rPr>
          <w:rFonts w:ascii="Times New Roman" w:hAnsi="Times New Roman" w:cs="Times New Roman"/>
          <w:bCs/>
          <w:color w:val="984806" w:themeColor="accent6" w:themeShade="80"/>
          <w:sz w:val="28"/>
          <w:szCs w:val="28"/>
        </w:rPr>
        <w:t>от 20.12.2019 №7-51</w:t>
      </w:r>
      <w:r w:rsidR="008115A9">
        <w:rPr>
          <w:rFonts w:ascii="Times New Roman" w:hAnsi="Times New Roman" w:cs="Times New Roman"/>
          <w:bCs/>
          <w:color w:val="984806" w:themeColor="accent6" w:themeShade="80"/>
          <w:sz w:val="28"/>
          <w:szCs w:val="28"/>
        </w:rPr>
        <w:t xml:space="preserve">, </w:t>
      </w:r>
      <w:r w:rsidR="008115A9" w:rsidRPr="008115A9">
        <w:rPr>
          <w:rFonts w:ascii="Times New Roman" w:hAnsi="Times New Roman" w:cs="Times New Roman"/>
          <w:bCs/>
          <w:color w:val="002060"/>
          <w:sz w:val="28"/>
          <w:szCs w:val="28"/>
        </w:rPr>
        <w:t>от 23.12.2019 №7-61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</w:t>
      </w:r>
      <w:proofErr w:type="gramEnd"/>
      <w:r w:rsidRPr="00E873B6">
        <w:rPr>
          <w:rFonts w:ascii="Times New Roman" w:hAnsi="Times New Roman" w:cs="Times New Roman"/>
          <w:sz w:val="28"/>
          <w:szCs w:val="28"/>
        </w:rPr>
        <w:t xml:space="preserve">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4B1623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8115A9" w:rsidRPr="008115A9">
        <w:rPr>
          <w:rFonts w:ascii="Times New Roman" w:hAnsi="Times New Roman" w:cs="Times New Roman"/>
          <w:color w:val="002060"/>
          <w:sz w:val="28"/>
          <w:szCs w:val="28"/>
        </w:rPr>
        <w:t>332 982 878,54</w:t>
      </w:r>
      <w:r w:rsidR="004B1623" w:rsidRPr="008115A9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3B4BAE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104 895 333,52</w:t>
      </w:r>
      <w:r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расходов местного бюджета в сумме </w:t>
      </w:r>
      <w:r w:rsidR="008115A9" w:rsidRPr="008115A9">
        <w:rPr>
          <w:rFonts w:ascii="Times New Roman" w:hAnsi="Times New Roman" w:cs="Times New Roman"/>
          <w:color w:val="002060"/>
          <w:sz w:val="28"/>
          <w:szCs w:val="28"/>
        </w:rPr>
        <w:t>343 153 236,40</w:t>
      </w:r>
      <w:r w:rsidRPr="008115A9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8E1B0D" w:rsidRPr="008E1B0D" w:rsidRDefault="008E1B0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8E1B0D">
        <w:rPr>
          <w:rFonts w:ascii="Times New Roman" w:hAnsi="Times New Roman" w:cs="Times New Roman"/>
          <w:color w:val="0070C0"/>
          <w:sz w:val="28"/>
          <w:szCs w:val="28"/>
        </w:rPr>
        <w:t>прогнозируемый дефицит местного бюджета в сумме 10 170 357,86 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ородского округа на 1 января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384B4F">
        <w:rPr>
          <w:rFonts w:ascii="Times New Roman" w:hAnsi="Times New Roman" w:cs="Times New Roman"/>
          <w:sz w:val="28"/>
          <w:szCs w:val="28"/>
        </w:rPr>
        <w:t>7 000 000,00</w:t>
      </w:r>
      <w:r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C599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BC599C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BC599C">
        <w:rPr>
          <w:rFonts w:ascii="Times New Roman" w:hAnsi="Times New Roman" w:cs="Times New Roman"/>
          <w:sz w:val="28"/>
          <w:szCs w:val="28"/>
        </w:rPr>
        <w:t xml:space="preserve"> (местного бюджета) 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4B162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 w:rsidRPr="00BC599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C599C">
        <w:rPr>
          <w:rFonts w:ascii="Times New Roman" w:hAnsi="Times New Roman" w:cs="Times New Roman"/>
          <w:sz w:val="28"/>
          <w:szCs w:val="28"/>
        </w:rPr>
        <w:t>: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99C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на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259 437 529,96</w:t>
      </w:r>
      <w:r w:rsidR="008E1B0D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рублей,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102 661 466,47</w:t>
      </w:r>
      <w:r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и на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269 772 976,92</w:t>
      </w:r>
      <w:r w:rsidR="00384B4F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104 897 477,58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BC59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</w:t>
      </w:r>
      <w:r w:rsidR="004B1623">
        <w:rPr>
          <w:rFonts w:ascii="Times New Roman" w:hAnsi="Times New Roman" w:cs="Times New Roman"/>
          <w:sz w:val="28"/>
          <w:szCs w:val="28"/>
        </w:rPr>
        <w:t>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C599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259 437 529,96</w:t>
      </w:r>
      <w:r w:rsidR="00384B4F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3 715 401,47</w:t>
      </w:r>
      <w:r w:rsidR="009F23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="009F2384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4B1623">
        <w:rPr>
          <w:rFonts w:ascii="Times New Roman" w:hAnsi="Times New Roman" w:cs="Times New Roman"/>
          <w:sz w:val="28"/>
          <w:szCs w:val="28"/>
        </w:rPr>
        <w:t xml:space="preserve"> и на 2021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269 772 976,92</w:t>
      </w:r>
      <w:r w:rsidR="00384B4F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7 775 805,58</w:t>
      </w:r>
      <w:r w:rsidR="009F23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="009F2384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C599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C50960">
        <w:rPr>
          <w:rFonts w:ascii="Times New Roman" w:hAnsi="Times New Roman" w:cs="Times New Roman"/>
          <w:sz w:val="28"/>
          <w:szCs w:val="28"/>
        </w:rPr>
        <w:t>7 000 000,00 рублей и на 1 января 202</w:t>
      </w:r>
      <w:r w:rsidR="004B1623">
        <w:rPr>
          <w:rFonts w:ascii="Times New Roman" w:hAnsi="Times New Roman" w:cs="Times New Roman"/>
          <w:sz w:val="28"/>
          <w:szCs w:val="28"/>
        </w:rPr>
        <w:t>2</w:t>
      </w:r>
      <w:r w:rsidRPr="00C50960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на 201</w:t>
      </w:r>
      <w:r w:rsidR="0004176F">
        <w:rPr>
          <w:rFonts w:ascii="Times New Roman" w:hAnsi="Times New Roman" w:cs="Times New Roman"/>
          <w:sz w:val="28"/>
          <w:szCs w:val="28"/>
        </w:rPr>
        <w:t>9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76F">
        <w:rPr>
          <w:rFonts w:ascii="Times New Roman" w:hAnsi="Times New Roman" w:cs="Times New Roman"/>
          <w:sz w:val="28"/>
          <w:szCs w:val="28"/>
        </w:rPr>
        <w:t xml:space="preserve">и на плановый период 2020 и 2021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на 201</w:t>
      </w:r>
      <w:r w:rsidR="00AD562A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873B6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>5. Установить на 201</w:t>
      </w:r>
      <w:r w:rsidR="00AD562A" w:rsidRPr="00E873B6">
        <w:rPr>
          <w:rFonts w:ascii="Times New Roman" w:hAnsi="Times New Roman" w:cs="Times New Roman"/>
          <w:sz w:val="28"/>
          <w:szCs w:val="28"/>
        </w:rPr>
        <w:t>9</w:t>
      </w:r>
      <w:r w:rsidRPr="00E873B6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E873B6">
        <w:rPr>
          <w:rFonts w:ascii="Times New Roman" w:hAnsi="Times New Roman" w:cs="Times New Roman"/>
          <w:sz w:val="28"/>
          <w:szCs w:val="28"/>
        </w:rPr>
        <w:t xml:space="preserve">на </w:t>
      </w:r>
      <w:r w:rsidRPr="00E873B6">
        <w:rPr>
          <w:rFonts w:ascii="Times New Roman" w:hAnsi="Times New Roman" w:cs="Times New Roman"/>
          <w:sz w:val="28"/>
          <w:szCs w:val="28"/>
        </w:rPr>
        <w:t>плановый п</w:t>
      </w:r>
      <w:r w:rsidR="00AD562A" w:rsidRPr="00E873B6">
        <w:rPr>
          <w:rFonts w:ascii="Times New Roman" w:hAnsi="Times New Roman" w:cs="Times New Roman"/>
          <w:sz w:val="28"/>
          <w:szCs w:val="28"/>
        </w:rPr>
        <w:t>ериод 2020</w:t>
      </w:r>
      <w:r w:rsidRPr="00E873B6"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 w:rsidRPr="00E873B6">
        <w:rPr>
          <w:rFonts w:ascii="Times New Roman" w:hAnsi="Times New Roman" w:cs="Times New Roman"/>
          <w:sz w:val="28"/>
          <w:szCs w:val="28"/>
        </w:rPr>
        <w:t xml:space="preserve">21 </w:t>
      </w:r>
      <w:r w:rsidRPr="00E873B6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источников финансирования дефицита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7A71A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7A71A4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на 2019 год и на плановый период 2020 и 2</w:t>
      </w:r>
      <w:r>
        <w:rPr>
          <w:rFonts w:ascii="Times New Roman" w:hAnsi="Times New Roman" w:cs="Times New Roman"/>
          <w:sz w:val="28"/>
          <w:szCs w:val="28"/>
        </w:rPr>
        <w:t>021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2020 и 2021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859A8" w:rsidRPr="00C859A8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>9 144 995,68</w:t>
      </w:r>
      <w:r w:rsidR="006F6175" w:rsidRPr="00C859A8">
        <w:rPr>
          <w:rFonts w:ascii="Times New Roman" w:hAnsi="Times New Roman" w:cs="Times New Roman"/>
          <w:color w:val="984806" w:themeColor="accent6" w:themeShade="8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5 792 717,72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6 499 312,04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3</w:t>
      </w:r>
      <w:r w:rsidR="00D94A84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6 </w:t>
      </w:r>
      <w:r w:rsidR="003B4BAE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623</w:t>
      </w:r>
      <w:r w:rsidR="00D94A84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> 087,91</w:t>
      </w:r>
      <w:r w:rsidR="002D0FAD" w:rsidRPr="003B4BAE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2 681 710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3 030 810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объем межбюджетных трансфертов, получаемых из других бюджетов</w:t>
      </w:r>
      <w:r w:rsidR="00CC16B5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,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2D0FAD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r w:rsidR="008115A9" w:rsidRPr="008115A9">
        <w:rPr>
          <w:rFonts w:ascii="Times New Roman" w:hAnsi="Times New Roman" w:cs="Times New Roman"/>
          <w:color w:val="002060"/>
          <w:sz w:val="28"/>
          <w:szCs w:val="28"/>
        </w:rPr>
        <w:t>228 280 440,29</w:t>
      </w:r>
      <w:r w:rsidR="00C859A8" w:rsidRPr="008115A9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2D0FAD" w:rsidRPr="008115A9">
        <w:rPr>
          <w:color w:val="002060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156 776 063,49</w:t>
      </w:r>
      <w:r w:rsidR="00CC16B5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4A84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>164 875 499,34</w:t>
      </w:r>
      <w:r w:rsidR="00CC16B5" w:rsidRPr="00D94A84">
        <w:rPr>
          <w:rFonts w:ascii="Times New Roman" w:hAnsi="Times New Roman" w:cs="Times New Roman"/>
          <w:color w:val="4BACC6" w:themeColor="accent5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размер резервного фонда администрации города Сельцо Брянской области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CC16B5">
        <w:rPr>
          <w:rFonts w:ascii="Times New Roman" w:hAnsi="Times New Roman" w:cs="Times New Roman"/>
          <w:sz w:val="28"/>
          <w:szCs w:val="28"/>
        </w:rPr>
        <w:t>250 000</w:t>
      </w:r>
      <w:r w:rsidR="002D0FAD" w:rsidRPr="00CC16B5">
        <w:rPr>
          <w:rFonts w:ascii="Times New Roman" w:hAnsi="Times New Roman" w:cs="Times New Roman"/>
          <w:sz w:val="28"/>
          <w:szCs w:val="28"/>
        </w:rPr>
        <w:t>,00</w:t>
      </w:r>
      <w:r w:rsidR="002D0FAD"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="002D0FAD" w:rsidRPr="00B07484">
        <w:rPr>
          <w:rFonts w:ascii="Times New Roman" w:hAnsi="Times New Roman" w:cs="Times New Roman"/>
          <w:sz w:val="28"/>
          <w:szCs w:val="28"/>
        </w:rPr>
        <w:t>рублей</w:t>
      </w:r>
      <w:r w:rsidR="002D0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="002D0FAD" w:rsidRPr="008E6B2C">
        <w:rPr>
          <w:rFonts w:ascii="Times New Roman" w:hAnsi="Times New Roman" w:cs="Times New Roman"/>
          <w:sz w:val="28"/>
          <w:szCs w:val="28"/>
        </w:rPr>
        <w:t xml:space="preserve"> год в сумме 250 000,00 рублей</w:t>
      </w:r>
      <w:r w:rsidR="002D0FAD">
        <w:rPr>
          <w:rFonts w:ascii="Times New Roman" w:hAnsi="Times New Roman" w:cs="Times New Roman"/>
          <w:sz w:val="28"/>
          <w:szCs w:val="28"/>
        </w:rPr>
        <w:t xml:space="preserve">,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250 000,00 рублей.</w:t>
      </w:r>
    </w:p>
    <w:p w:rsidR="002D0FAD" w:rsidRPr="00E01A86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E01A86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недополученных доходов </w:t>
      </w:r>
      <w:r w:rsidR="002D0FAD">
        <w:rPr>
          <w:rFonts w:ascii="Times New Roman" w:hAnsi="Times New Roman" w:cs="Times New Roman"/>
          <w:sz w:val="28"/>
          <w:szCs w:val="28"/>
        </w:rPr>
        <w:t>и (</w:t>
      </w:r>
      <w:r w:rsidR="002D0FAD" w:rsidRPr="00E01A86">
        <w:rPr>
          <w:rFonts w:ascii="Times New Roman" w:hAnsi="Times New Roman" w:cs="Times New Roman"/>
          <w:sz w:val="28"/>
          <w:szCs w:val="28"/>
        </w:rPr>
        <w:t>или</w:t>
      </w:r>
      <w:r w:rsidR="002D0FAD">
        <w:rPr>
          <w:rFonts w:ascii="Times New Roman" w:hAnsi="Times New Roman" w:cs="Times New Roman"/>
          <w:sz w:val="28"/>
          <w:szCs w:val="28"/>
        </w:rPr>
        <w:t>) финансового обеспечения (возмещения)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затрат в связи с производством (реализацией) товаров</w:t>
      </w:r>
      <w:r w:rsidR="002D0FAD">
        <w:rPr>
          <w:rFonts w:ascii="Times New Roman" w:hAnsi="Times New Roman" w:cs="Times New Roman"/>
          <w:sz w:val="28"/>
          <w:szCs w:val="28"/>
        </w:rPr>
        <w:t xml:space="preserve">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="002D0FAD">
        <w:rPr>
          <w:rFonts w:ascii="Times New Roman" w:hAnsi="Times New Roman" w:cs="Times New Roman"/>
          <w:sz w:val="28"/>
          <w:szCs w:val="28"/>
        </w:rPr>
        <w:t>),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 в объемах, предусмотренных приложени</w:t>
      </w:r>
      <w:r w:rsidR="002D0FAD">
        <w:rPr>
          <w:rFonts w:ascii="Times New Roman" w:hAnsi="Times New Roman" w:cs="Times New Roman"/>
          <w:sz w:val="28"/>
          <w:szCs w:val="28"/>
        </w:rPr>
        <w:t>ем</w:t>
      </w:r>
      <w:r w:rsidR="009872B5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</w:t>
      </w:r>
      <w:r>
        <w:rPr>
          <w:rFonts w:ascii="Times New Roman" w:hAnsi="Times New Roman" w:cs="Times New Roman"/>
          <w:sz w:val="28"/>
          <w:szCs w:val="28"/>
        </w:rPr>
        <w:t xml:space="preserve">соответствовать общим требованиям, установленным Правительством Российской Федерации, и </w:t>
      </w:r>
      <w:r w:rsidRPr="00E01A86">
        <w:rPr>
          <w:rFonts w:ascii="Times New Roman" w:hAnsi="Times New Roman" w:cs="Times New Roman"/>
          <w:sz w:val="28"/>
          <w:szCs w:val="28"/>
        </w:rPr>
        <w:t>определять: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</w:t>
      </w:r>
      <w:r>
        <w:rPr>
          <w:rFonts w:ascii="Times New Roman" w:hAnsi="Times New Roman" w:cs="Times New Roman"/>
          <w:sz w:val="28"/>
          <w:szCs w:val="28"/>
        </w:rPr>
        <w:t>(за исключением государственных и муниципальных учреждений)</w:t>
      </w:r>
      <w:r w:rsidRPr="00E01A86">
        <w:rPr>
          <w:rFonts w:ascii="Times New Roman" w:hAnsi="Times New Roman" w:cs="Times New Roman"/>
          <w:sz w:val="28"/>
          <w:szCs w:val="28"/>
        </w:rPr>
        <w:t>, индивидуальных п</w:t>
      </w:r>
      <w:r>
        <w:rPr>
          <w:rFonts w:ascii="Times New Roman" w:hAnsi="Times New Roman" w:cs="Times New Roman"/>
          <w:sz w:val="28"/>
          <w:szCs w:val="28"/>
        </w:rPr>
        <w:t>редпринимателей, физических лиц -</w:t>
      </w:r>
      <w:r w:rsidRPr="00E01A86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услуг, имеющих право на получение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D0FAD" w:rsidRDefault="002D0FAD" w:rsidP="00041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01A86">
        <w:rPr>
          <w:rFonts w:ascii="Times New Roman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</w:t>
      </w:r>
      <w:r>
        <w:rPr>
          <w:rFonts w:ascii="Times New Roman" w:hAnsi="Times New Roman" w:cs="Times New Roman"/>
          <w:sz w:val="28"/>
          <w:szCs w:val="28"/>
          <w:lang w:eastAsia="en-US"/>
        </w:rPr>
        <w:t>, а также коммерческих организаций с участием таких товариществ и обществ в их уставных (складочных) капиталах)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 xml:space="preserve">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2D0FAD" w:rsidRPr="00D23969" w:rsidRDefault="002D0FAD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23969">
        <w:rPr>
          <w:rFonts w:ascii="Times New Roman" w:hAnsi="Times New Roman" w:cs="Times New Roman"/>
          <w:sz w:val="28"/>
          <w:szCs w:val="28"/>
          <w:lang w:eastAsia="en-US"/>
        </w:rPr>
        <w:t>При предоставлении субсидий, предусмотренных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им</w:t>
      </w:r>
      <w:r w:rsidR="00CC16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пунктом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>, юридическим лицам, указанным в абзаце первом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его пункта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 xml:space="preserve">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 указанным юридическим лицам.</w:t>
      </w:r>
    </w:p>
    <w:p w:rsidR="002D0FA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17</w:t>
      </w:r>
      <w:r w:rsidR="002D0FA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68131A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AC9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и 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>, или сокращение указанных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образования</w:t>
      </w:r>
      <w:r w:rsidRPr="00E92AC9">
        <w:rPr>
          <w:rFonts w:ascii="Times New Roman" w:hAnsi="Times New Roman" w:cs="Times New Roman"/>
          <w:sz w:val="28"/>
          <w:szCs w:val="28"/>
        </w:rPr>
        <w:t>;</w:t>
      </w:r>
    </w:p>
    <w:p w:rsidR="002D0FAD" w:rsidRPr="002D7E7A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7A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2D7E7A">
        <w:rPr>
          <w:rFonts w:ascii="Times New Roman" w:hAnsi="Times New Roman" w:cs="Times New Roman"/>
          <w:sz w:val="28"/>
          <w:szCs w:val="28"/>
        </w:rPr>
        <w:t xml:space="preserve">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DF04D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2D7E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бюджете, по основаниям, установленным </w:t>
      </w:r>
      <w:hyperlink r:id="rId9" w:history="1">
        <w:r w:rsidRPr="00416BDA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416BDA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DA">
        <w:rPr>
          <w:rFonts w:ascii="Times New Roman" w:hAnsi="Times New Roman" w:cs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 w:cs="Times New Roman"/>
          <w:sz w:val="28"/>
          <w:szCs w:val="28"/>
        </w:rPr>
        <w:t xml:space="preserve"> порядка применения бюджетной классификации;</w:t>
      </w:r>
    </w:p>
    <w:p w:rsidR="002D0FAD" w:rsidRPr="004B70F2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16BDA">
        <w:rPr>
          <w:rFonts w:ascii="Times New Roman" w:hAnsi="Times New Roman" w:cs="Times New Roman"/>
          <w:sz w:val="28"/>
          <w:szCs w:val="28"/>
        </w:rPr>
        <w:t xml:space="preserve"> решений налоговых и иных уполномоченных органов о взыскании налогов, </w:t>
      </w:r>
      <w:r w:rsidRPr="00416BDA">
        <w:rPr>
          <w:rFonts w:ascii="Times New Roman" w:hAnsi="Times New Roman" w:cs="Times New Roman"/>
          <w:sz w:val="28"/>
          <w:szCs w:val="28"/>
        </w:rPr>
        <w:lastRenderedPageBreak/>
        <w:t xml:space="preserve">сборов, пеней и штрафов, предусматривающих обращение взыскания на средства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BC2967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6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Pr="00AC35B0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>стного бюджета на предоставление бюджетным</w:t>
      </w:r>
      <w:r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AC35B0">
        <w:rPr>
          <w:rFonts w:ascii="Times New Roman" w:hAnsi="Times New Roman" w:cs="Times New Roman"/>
          <w:sz w:val="28"/>
          <w:szCs w:val="28"/>
        </w:rPr>
        <w:t xml:space="preserve"> учреждениям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E7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</w:t>
      </w:r>
      <w:r w:rsidRPr="00050BE7">
        <w:rPr>
          <w:rFonts w:ascii="Times New Roman" w:hAnsi="Times New Roman" w:cs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 w:cs="Times New Roman"/>
          <w:sz w:val="28"/>
          <w:szCs w:val="28"/>
        </w:rPr>
        <w:t>вторым, третьим и четвертым</w:t>
      </w:r>
      <w:r w:rsidRPr="00050BE7">
        <w:rPr>
          <w:rFonts w:ascii="Times New Roman" w:hAnsi="Times New Roman" w:cs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Решением.</w:t>
      </w:r>
    </w:p>
    <w:p w:rsidR="002D0FAD" w:rsidRDefault="006D0D72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2D0FAD">
        <w:rPr>
          <w:rFonts w:ascii="Times New Roman" w:hAnsi="Times New Roman" w:cs="Times New Roman"/>
          <w:sz w:val="28"/>
          <w:szCs w:val="28"/>
        </w:rPr>
        <w:t>местного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остатков безвозмездных поступлений </w:t>
      </w:r>
      <w:r w:rsidR="002D0FAD">
        <w:rPr>
          <w:rFonts w:ascii="Times New Roman" w:hAnsi="Times New Roman" w:cs="Times New Roman"/>
          <w:sz w:val="28"/>
          <w:szCs w:val="28"/>
        </w:rPr>
        <w:t xml:space="preserve">от государственной корпорации – </w:t>
      </w:r>
      <w:r w:rsidR="002D0FAD" w:rsidRPr="00097922">
        <w:rPr>
          <w:rFonts w:ascii="Times New Roman" w:hAnsi="Times New Roman" w:cs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r w:rsidR="00DF04D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2D0FAD">
        <w:rPr>
          <w:rFonts w:ascii="Times New Roman" w:hAnsi="Times New Roman" w:cs="Times New Roman"/>
          <w:sz w:val="28"/>
          <w:szCs w:val="28"/>
        </w:rPr>
        <w:t>ме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2D0FAD"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6D0D72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Установить, что руководители органов местного самоуправления, отраслевых (функциональных) органов администрации города Сельцо </w:t>
      </w:r>
      <w:r w:rsidR="002D0FAD" w:rsidRPr="00E01A86">
        <w:rPr>
          <w:rFonts w:ascii="Times New Roman" w:hAnsi="Times New Roman" w:cs="Times New Roman"/>
          <w:sz w:val="28"/>
          <w:szCs w:val="28"/>
        </w:rPr>
        <w:lastRenderedPageBreak/>
        <w:t>Брянской области, муниципальных учреждений не вправе принимать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1CD5" w:rsidRPr="00CC0B3F" w:rsidRDefault="009856FC" w:rsidP="00021C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3F">
        <w:rPr>
          <w:rFonts w:ascii="Times New Roman" w:hAnsi="Times New Roman" w:cs="Times New Roman"/>
          <w:sz w:val="28"/>
          <w:szCs w:val="28"/>
        </w:rPr>
        <w:t>20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5389" w:rsidRPr="00CC0B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21CD5" w:rsidRPr="00CC0B3F">
        <w:rPr>
          <w:rFonts w:ascii="Times New Roman" w:hAnsi="Times New Roman" w:cs="Times New Roman"/>
          <w:sz w:val="28"/>
          <w:szCs w:val="28"/>
        </w:rPr>
        <w:t>пункт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ом </w:t>
      </w:r>
      <w:r w:rsidR="007A3952" w:rsidRPr="00CC0B3F">
        <w:rPr>
          <w:rFonts w:ascii="Times New Roman" w:hAnsi="Times New Roman" w:cs="Times New Roman"/>
          <w:sz w:val="28"/>
          <w:szCs w:val="28"/>
        </w:rPr>
        <w:t>1.5 раздела 1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A3952" w:rsidRPr="00CC0B3F">
        <w:rPr>
          <w:rFonts w:ascii="Times New Roman" w:hAnsi="Times New Roman" w:cs="Times New Roman"/>
          <w:sz w:val="28"/>
          <w:szCs w:val="28"/>
        </w:rPr>
        <w:t>я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Совета народных депутатов города Сельцо от 28.01.2010 года № 5-244 «Об утверждении Положения об оплате труда и гарантиях муниципальных служащих </w:t>
      </w:r>
      <w:proofErr w:type="spellStart"/>
      <w:r w:rsidR="00021CD5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округа, выборного должностного лица», </w:t>
      </w:r>
      <w:r w:rsidR="00D95389" w:rsidRPr="00CC0B3F">
        <w:rPr>
          <w:rFonts w:ascii="Times New Roman" w:hAnsi="Times New Roman" w:cs="Times New Roman"/>
          <w:sz w:val="28"/>
          <w:szCs w:val="28"/>
        </w:rPr>
        <w:t>увеличить (проиндексировать) в 1,04</w:t>
      </w:r>
      <w:r w:rsidR="00FA6D55" w:rsidRPr="00CC0B3F">
        <w:rPr>
          <w:rFonts w:ascii="Times New Roman" w:hAnsi="Times New Roman" w:cs="Times New Roman"/>
          <w:sz w:val="28"/>
          <w:szCs w:val="28"/>
        </w:rPr>
        <w:t>3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раза с 1 </w:t>
      </w:r>
      <w:r w:rsidR="00FA6D55" w:rsidRPr="00CC0B3F">
        <w:rPr>
          <w:rFonts w:ascii="Times New Roman" w:hAnsi="Times New Roman" w:cs="Times New Roman"/>
          <w:sz w:val="28"/>
          <w:szCs w:val="28"/>
        </w:rPr>
        <w:t>октября 2019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размеры месячных окладов муниципальных служащих </w:t>
      </w:r>
      <w:proofErr w:type="spellStart"/>
      <w:r w:rsidR="00CE54E8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 и выборного должностного лица в соответствии с замещаемыми ими</w:t>
      </w:r>
      <w:proofErr w:type="gram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должностями.</w:t>
      </w:r>
    </w:p>
    <w:p w:rsidR="002D0FA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>
        <w:rPr>
          <w:rFonts w:ascii="Times New Roman" w:hAnsi="Times New Roman" w:cs="Times New Roman"/>
          <w:sz w:val="28"/>
          <w:szCs w:val="28"/>
        </w:rPr>
        <w:t xml:space="preserve"> </w:t>
      </w:r>
      <w:r w:rsidR="002D0FA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885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C41DD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73B">
        <w:rPr>
          <w:rFonts w:ascii="Times New Roman" w:hAnsi="Times New Roman" w:cs="Times New Roman"/>
          <w:sz w:val="28"/>
          <w:szCs w:val="28"/>
        </w:rPr>
        <w:t>2</w:t>
      </w:r>
      <w:r w:rsidR="005B6885" w:rsidRPr="00C3773B">
        <w:rPr>
          <w:rFonts w:ascii="Times New Roman" w:hAnsi="Times New Roman" w:cs="Times New Roman"/>
          <w:sz w:val="28"/>
          <w:szCs w:val="28"/>
        </w:rPr>
        <w:t>3</w:t>
      </w:r>
      <w:r w:rsidRPr="00C3773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внутреннего долга </w:t>
      </w:r>
      <w:proofErr w:type="spellStart"/>
      <w:r w:rsidR="001214AD" w:rsidRPr="00C3773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C3773B">
        <w:rPr>
          <w:rFonts w:ascii="Times New Roman" w:hAnsi="Times New Roman" w:cs="Times New Roman"/>
          <w:sz w:val="28"/>
          <w:szCs w:val="28"/>
        </w:rPr>
        <w:t xml:space="preserve"> городского округа на 2019 год в сумме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рублей, на 2020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 и 2021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773B">
        <w:rPr>
          <w:rFonts w:ascii="Times New Roman" w:hAnsi="Times New Roman" w:cs="Times New Roman"/>
          <w:sz w:val="28"/>
          <w:szCs w:val="28"/>
        </w:rPr>
        <w:t>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1 января 2020 года в сумме 0,00 рублей, на 1 января 2021 года в сумме 0,00 рублей, на 1 января 2022 года в сумме 0,00 рублей.</w:t>
      </w:r>
    </w:p>
    <w:p w:rsidR="001214AD" w:rsidRPr="00E01A86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773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1214AD" w:rsidRPr="00E01A86">
        <w:rPr>
          <w:rFonts w:ascii="Times New Roman" w:hAnsi="Times New Roman" w:cs="Times New Roman"/>
          <w:sz w:val="28"/>
          <w:szCs w:val="28"/>
        </w:rPr>
        <w:t>а 201</w:t>
      </w:r>
      <w:r w:rsidR="001214AD">
        <w:rPr>
          <w:rFonts w:ascii="Times New Roman" w:hAnsi="Times New Roman" w:cs="Times New Roman"/>
          <w:sz w:val="28"/>
          <w:szCs w:val="28"/>
        </w:rPr>
        <w:t>9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214AD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1214AD">
        <w:rPr>
          <w:rFonts w:ascii="Times New Roman" w:hAnsi="Times New Roman" w:cs="Times New Roman"/>
          <w:sz w:val="28"/>
          <w:szCs w:val="28"/>
        </w:rPr>
        <w:t>21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214AD">
        <w:rPr>
          <w:rFonts w:ascii="Times New Roman" w:hAnsi="Times New Roman" w:cs="Times New Roman"/>
          <w:sz w:val="28"/>
          <w:szCs w:val="28"/>
        </w:rPr>
        <w:t>10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CF6310">
      <w:pPr>
        <w:tabs>
          <w:tab w:val="left" w:pos="851"/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E01A86" w:rsidRDefault="00CF631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FA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Е.Н.Гашичева</w:t>
      </w:r>
      <w:proofErr w:type="spellEnd"/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214AD"/>
    <w:rsid w:val="00130E4B"/>
    <w:rsid w:val="00134AF8"/>
    <w:rsid w:val="00137447"/>
    <w:rsid w:val="00171C4D"/>
    <w:rsid w:val="001A1282"/>
    <w:rsid w:val="001B1D06"/>
    <w:rsid w:val="001C41DD"/>
    <w:rsid w:val="001C5B11"/>
    <w:rsid w:val="001D13FE"/>
    <w:rsid w:val="001D4229"/>
    <w:rsid w:val="001F004E"/>
    <w:rsid w:val="001F127A"/>
    <w:rsid w:val="001F773C"/>
    <w:rsid w:val="002142B2"/>
    <w:rsid w:val="002562E3"/>
    <w:rsid w:val="00256EEE"/>
    <w:rsid w:val="0027730D"/>
    <w:rsid w:val="002D0FAD"/>
    <w:rsid w:val="002D22F0"/>
    <w:rsid w:val="002D2CCD"/>
    <w:rsid w:val="002D7E7A"/>
    <w:rsid w:val="002E2BA2"/>
    <w:rsid w:val="002E7C08"/>
    <w:rsid w:val="003354FB"/>
    <w:rsid w:val="0034512C"/>
    <w:rsid w:val="0034757A"/>
    <w:rsid w:val="00384B4F"/>
    <w:rsid w:val="003B49B8"/>
    <w:rsid w:val="003B4BAE"/>
    <w:rsid w:val="003C6E53"/>
    <w:rsid w:val="003C7611"/>
    <w:rsid w:val="0041182E"/>
    <w:rsid w:val="00411B65"/>
    <w:rsid w:val="00416BDA"/>
    <w:rsid w:val="00422A67"/>
    <w:rsid w:val="0044281E"/>
    <w:rsid w:val="00452906"/>
    <w:rsid w:val="004942AB"/>
    <w:rsid w:val="004B1623"/>
    <w:rsid w:val="004B70F2"/>
    <w:rsid w:val="004C3306"/>
    <w:rsid w:val="004C5575"/>
    <w:rsid w:val="004D1C9C"/>
    <w:rsid w:val="00504C9F"/>
    <w:rsid w:val="00511406"/>
    <w:rsid w:val="00516B60"/>
    <w:rsid w:val="005368AE"/>
    <w:rsid w:val="00546003"/>
    <w:rsid w:val="005512CD"/>
    <w:rsid w:val="00570023"/>
    <w:rsid w:val="005B6885"/>
    <w:rsid w:val="005C13DC"/>
    <w:rsid w:val="00611775"/>
    <w:rsid w:val="006351B9"/>
    <w:rsid w:val="006524CF"/>
    <w:rsid w:val="00677DD4"/>
    <w:rsid w:val="0068131A"/>
    <w:rsid w:val="0068238A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60639"/>
    <w:rsid w:val="00763514"/>
    <w:rsid w:val="007A3952"/>
    <w:rsid w:val="007A71A4"/>
    <w:rsid w:val="007D493C"/>
    <w:rsid w:val="007E307A"/>
    <w:rsid w:val="007F5E5D"/>
    <w:rsid w:val="00804DEF"/>
    <w:rsid w:val="008115A9"/>
    <w:rsid w:val="0082685D"/>
    <w:rsid w:val="008447C4"/>
    <w:rsid w:val="00847E6D"/>
    <w:rsid w:val="00877AEF"/>
    <w:rsid w:val="008933F4"/>
    <w:rsid w:val="008A55E9"/>
    <w:rsid w:val="008D260C"/>
    <w:rsid w:val="008D6BE7"/>
    <w:rsid w:val="008E1B0D"/>
    <w:rsid w:val="008E6B2C"/>
    <w:rsid w:val="008F76F8"/>
    <w:rsid w:val="00915F38"/>
    <w:rsid w:val="00970F12"/>
    <w:rsid w:val="0097337A"/>
    <w:rsid w:val="00982CE7"/>
    <w:rsid w:val="009856FC"/>
    <w:rsid w:val="00985CCA"/>
    <w:rsid w:val="009872B5"/>
    <w:rsid w:val="009B0320"/>
    <w:rsid w:val="009B4147"/>
    <w:rsid w:val="009F2384"/>
    <w:rsid w:val="00A42ECE"/>
    <w:rsid w:val="00A95DCA"/>
    <w:rsid w:val="00AB449A"/>
    <w:rsid w:val="00AC35B0"/>
    <w:rsid w:val="00AD562A"/>
    <w:rsid w:val="00AF760C"/>
    <w:rsid w:val="00B01F19"/>
    <w:rsid w:val="00B07484"/>
    <w:rsid w:val="00B26B3E"/>
    <w:rsid w:val="00B34FDB"/>
    <w:rsid w:val="00B66818"/>
    <w:rsid w:val="00B84ECC"/>
    <w:rsid w:val="00B9337D"/>
    <w:rsid w:val="00BB533B"/>
    <w:rsid w:val="00BC2967"/>
    <w:rsid w:val="00BC599C"/>
    <w:rsid w:val="00BF1CD3"/>
    <w:rsid w:val="00C01B4E"/>
    <w:rsid w:val="00C05892"/>
    <w:rsid w:val="00C249D9"/>
    <w:rsid w:val="00C3773B"/>
    <w:rsid w:val="00C4041D"/>
    <w:rsid w:val="00C50960"/>
    <w:rsid w:val="00C5118B"/>
    <w:rsid w:val="00C666A5"/>
    <w:rsid w:val="00C859A8"/>
    <w:rsid w:val="00C85C44"/>
    <w:rsid w:val="00CC01CD"/>
    <w:rsid w:val="00CC0B3F"/>
    <w:rsid w:val="00CC16B5"/>
    <w:rsid w:val="00CC54B4"/>
    <w:rsid w:val="00CD5E8C"/>
    <w:rsid w:val="00CE4947"/>
    <w:rsid w:val="00CE54E8"/>
    <w:rsid w:val="00CF6310"/>
    <w:rsid w:val="00D23969"/>
    <w:rsid w:val="00D25E65"/>
    <w:rsid w:val="00D64D92"/>
    <w:rsid w:val="00D735AB"/>
    <w:rsid w:val="00D94A84"/>
    <w:rsid w:val="00D95389"/>
    <w:rsid w:val="00DD4552"/>
    <w:rsid w:val="00DE15A7"/>
    <w:rsid w:val="00DE254E"/>
    <w:rsid w:val="00DE6D19"/>
    <w:rsid w:val="00DF04DC"/>
    <w:rsid w:val="00DF2DA2"/>
    <w:rsid w:val="00E01A86"/>
    <w:rsid w:val="00E3433E"/>
    <w:rsid w:val="00E46868"/>
    <w:rsid w:val="00E6221F"/>
    <w:rsid w:val="00E86FB8"/>
    <w:rsid w:val="00E873B6"/>
    <w:rsid w:val="00E913B6"/>
    <w:rsid w:val="00E92AC9"/>
    <w:rsid w:val="00EB50B7"/>
    <w:rsid w:val="00EB70A1"/>
    <w:rsid w:val="00F03BB4"/>
    <w:rsid w:val="00F36DA8"/>
    <w:rsid w:val="00FA3CD3"/>
    <w:rsid w:val="00FA6D55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790C6-26B1-4A2E-BC9D-943345A5C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2461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57</cp:revision>
  <cp:lastPrinted>2018-12-13T08:30:00Z</cp:lastPrinted>
  <dcterms:created xsi:type="dcterms:W3CDTF">2017-09-01T08:39:00Z</dcterms:created>
  <dcterms:modified xsi:type="dcterms:W3CDTF">2019-12-19T13:22:00Z</dcterms:modified>
</cp:coreProperties>
</file>